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40" w:lineRule="exact"/>
        <w:jc w:val="center"/>
        <w:rPr>
          <w:rFonts w:eastAsia="隶书"/>
          <w:color w:val="000000"/>
          <w:spacing w:val="2"/>
          <w:position w:val="6"/>
          <w:sz w:val="36"/>
        </w:rPr>
      </w:pPr>
      <w:r>
        <w:rPr>
          <w:rFonts w:hint="eastAsia" w:eastAsia="隶书"/>
          <w:color w:val="000000"/>
          <w:spacing w:val="2"/>
          <w:position w:val="6"/>
          <w:sz w:val="36"/>
        </w:rPr>
        <w:t>市域社会治理专刊第</w:t>
      </w:r>
      <w:r>
        <w:rPr>
          <w:rFonts w:hint="eastAsia" w:eastAsia="隶书"/>
          <w:color w:val="000000"/>
          <w:spacing w:val="2"/>
          <w:position w:val="6"/>
          <w:sz w:val="36"/>
          <w:lang w:val="en-US" w:eastAsia="zh-CN"/>
        </w:rPr>
        <w:t>5</w:t>
      </w:r>
      <w:r>
        <w:rPr>
          <w:rFonts w:hint="eastAsia" w:eastAsia="隶书"/>
          <w:color w:val="000000"/>
          <w:spacing w:val="2"/>
          <w:position w:val="6"/>
          <w:sz w:val="36"/>
        </w:rPr>
        <w:t>期（总第</w:t>
      </w:r>
      <w:r>
        <w:rPr>
          <w:rFonts w:hint="eastAsia" w:eastAsia="隶书"/>
          <w:color w:val="000000"/>
          <w:spacing w:val="2"/>
          <w:position w:val="6"/>
          <w:sz w:val="36"/>
          <w:lang w:val="en-US" w:eastAsia="zh-CN"/>
        </w:rPr>
        <w:t xml:space="preserve">15 </w:t>
      </w:r>
      <w:r>
        <w:rPr>
          <w:rFonts w:hint="eastAsia" w:eastAsia="隶书"/>
          <w:color w:val="000000"/>
          <w:spacing w:val="2"/>
          <w:position w:val="6"/>
          <w:sz w:val="36"/>
        </w:rPr>
        <w:t>期）</w:t>
      </w:r>
    </w:p>
    <w:p>
      <w:pPr>
        <w:wordWrap w:val="0"/>
        <w:spacing w:line="400" w:lineRule="exact"/>
        <w:rPr>
          <w:color w:val="000000"/>
          <w:sz w:val="32"/>
          <w:szCs w:val="32"/>
        </w:rPr>
      </w:pPr>
    </w:p>
    <w:p>
      <w:pPr>
        <w:wordWrap w:val="0"/>
        <w:spacing w:line="400" w:lineRule="exact"/>
        <w:rPr>
          <w:color w:val="000000"/>
          <w:sz w:val="32"/>
          <w:szCs w:val="32"/>
        </w:rPr>
      </w:pPr>
    </w:p>
    <w:p>
      <w:pPr>
        <w:pStyle w:val="3"/>
        <w:wordWrap w:val="0"/>
        <w:spacing w:line="400" w:lineRule="exact"/>
        <w:ind w:firstLine="0"/>
        <w:rPr>
          <w:rFonts w:ascii="楷体_GB2312" w:eastAsia="楷体_GB2312"/>
          <w:b/>
          <w:color w:val="000000"/>
          <w:position w:val="-15"/>
          <w:sz w:val="28"/>
          <w:szCs w:val="28"/>
        </w:rPr>
      </w:pPr>
    </w:p>
    <w:p>
      <w:pPr>
        <w:pStyle w:val="3"/>
        <w:tabs>
          <w:tab w:val="left" w:pos="7791"/>
        </w:tabs>
        <w:wordWrap w:val="0"/>
        <w:spacing w:line="400" w:lineRule="exact"/>
        <w:ind w:right="75" w:firstLine="0"/>
        <w:rPr>
          <w:rFonts w:hint="eastAsia" w:ascii="楷体_GB2312" w:eastAsia="楷体_GB2312"/>
          <w:b/>
          <w:color w:val="000000"/>
          <w:sz w:val="28"/>
          <w:szCs w:val="28"/>
        </w:rPr>
      </w:pPr>
      <w:r>
        <w:rPr>
          <w:rFonts w:hint="eastAsia" w:ascii="楷体_GB2312" w:eastAsia="楷体_GB2312"/>
          <w:b/>
          <w:color w:val="000000"/>
          <w:spacing w:val="28"/>
          <w:sz w:val="28"/>
          <w:szCs w:val="28"/>
        </w:rPr>
        <w:t xml:space="preserve">中共永州市委政法委员会主办      </w:t>
      </w:r>
      <w:r>
        <w:rPr>
          <w:rFonts w:hint="eastAsia" w:ascii="楷体_GB2312" w:hAnsi="仿宋" w:eastAsia="楷体_GB2312"/>
          <w:b/>
          <w:color w:val="000000"/>
          <w:szCs w:val="32"/>
        </w:rPr>
        <w:t xml:space="preserve"> 2022年</w:t>
      </w:r>
      <w:r>
        <w:rPr>
          <w:rFonts w:hint="eastAsia" w:ascii="楷体_GB2312" w:hAnsi="仿宋" w:eastAsia="楷体_GB2312"/>
          <w:b/>
          <w:color w:val="000000"/>
          <w:szCs w:val="32"/>
          <w:lang w:val="en-US" w:eastAsia="zh-CN"/>
        </w:rPr>
        <w:t>6</w:t>
      </w:r>
      <w:r>
        <w:rPr>
          <w:rFonts w:hint="eastAsia" w:ascii="楷体_GB2312" w:hAnsi="仿宋" w:eastAsia="楷体_GB2312"/>
          <w:b/>
          <w:color w:val="000000"/>
          <w:szCs w:val="32"/>
        </w:rPr>
        <w:t>月</w:t>
      </w:r>
      <w:r>
        <w:rPr>
          <w:rFonts w:hint="eastAsia" w:ascii="楷体_GB2312" w:hAnsi="仿宋" w:eastAsia="楷体_GB2312"/>
          <w:b/>
          <w:color w:val="000000"/>
          <w:szCs w:val="32"/>
          <w:lang w:val="en-US" w:eastAsia="zh-CN"/>
        </w:rPr>
        <w:t>23</w:t>
      </w:r>
      <w:r>
        <w:rPr>
          <w:rFonts w:hint="eastAsia" w:ascii="楷体_GB2312" w:hAnsi="仿宋" w:eastAsia="楷体_GB2312"/>
          <w:b/>
          <w:color w:val="000000"/>
          <w:szCs w:val="32"/>
        </w:rPr>
        <w:t>日</w:t>
      </w:r>
    </w:p>
    <w:p>
      <w:pPr>
        <w:pStyle w:val="3"/>
        <w:spacing w:line="560" w:lineRule="exact"/>
        <w:ind w:firstLine="0"/>
        <w:rPr>
          <w:rFonts w:hint="eastAsia" w:ascii="楷体_GB2312" w:eastAsia="楷体_GB2312"/>
          <w:b/>
          <w:color w:val="000000"/>
          <w:spacing w:val="2"/>
          <w:sz w:val="28"/>
          <w:u w:val="single"/>
        </w:rPr>
      </w:pPr>
    </w:p>
    <w:p>
      <w:pPr>
        <w:pStyle w:val="3"/>
        <w:spacing w:line="560" w:lineRule="exact"/>
        <w:ind w:firstLine="0"/>
        <w:rPr>
          <w:rFonts w:hint="eastAsia" w:ascii="楷体_GB2312" w:eastAsia="楷体_GB2312"/>
          <w:b/>
          <w:color w:val="000000"/>
          <w:spacing w:val="2"/>
          <w:sz w:val="28"/>
          <w:u w:val="single"/>
        </w:rPr>
      </w:pPr>
    </w:p>
    <w:p>
      <w:pPr>
        <w:widowControl/>
        <w:jc w:val="left"/>
        <w:rPr>
          <w:rFonts w:hint="eastAsia"/>
        </w:rPr>
      </w:pPr>
    </w:p>
    <w:p>
      <w:pPr>
        <w:pStyle w:val="2"/>
        <w:rPr>
          <w:rFonts w:hint="eastAsia" w:ascii="Times New Roman" w:hAnsi="Times New Roman"/>
        </w:rPr>
      </w:pPr>
    </w:p>
    <w:p>
      <w:pPr>
        <w:pStyle w:val="9"/>
        <w:spacing w:line="560" w:lineRule="exact"/>
        <w:jc w:val="center"/>
        <w:rPr>
          <w:rFonts w:hint="eastAsia"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目   录</w:t>
      </w:r>
    </w:p>
    <w:p>
      <w:pPr>
        <w:spacing w:line="560" w:lineRule="exact"/>
        <w:jc w:val="both"/>
        <w:rPr>
          <w:rFonts w:hint="eastAsia"/>
          <w:b/>
          <w:bCs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jc w:val="both"/>
        <w:textAlignment w:val="auto"/>
        <w:rPr>
          <w:rFonts w:hint="eastAsia" w:ascii="仿宋_GB2312" w:eastAsia="仿宋_GB2312"/>
          <w:snapToGrid w:val="0"/>
          <w:color w:val="000000"/>
          <w:kern w:val="0"/>
          <w:sz w:val="32"/>
          <w:szCs w:val="32"/>
        </w:rPr>
      </w:pPr>
      <w:r>
        <w:rPr>
          <w:rFonts w:hint="eastAsia"/>
          <w:snapToGrid w:val="0"/>
          <w:color w:val="000000"/>
          <w:kern w:val="0"/>
          <w:szCs w:val="32"/>
        </w:rPr>
        <w:t>○</w:t>
      </w:r>
      <w:r>
        <w:rPr>
          <w:rFonts w:hint="eastAsia" w:ascii="仿宋_GB2312" w:eastAsia="仿宋_GB2312"/>
          <w:sz w:val="32"/>
          <w:szCs w:val="32"/>
        </w:rPr>
        <w:t>祁阳市丁庙湾村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napToGrid w:val="0"/>
          <w:color w:val="000000"/>
          <w:kern w:val="0"/>
          <w:sz w:val="32"/>
          <w:szCs w:val="32"/>
        </w:rPr>
        <w:t>“三治”融合赋“三好”乡村治理富乡村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jc w:val="both"/>
        <w:textAlignment w:val="auto"/>
        <w:rPr>
          <w:rFonts w:hint="default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/>
          <w:snapToGrid w:val="0"/>
          <w:color w:val="000000"/>
          <w:kern w:val="0"/>
          <w:szCs w:val="32"/>
        </w:rPr>
        <w:t>○</w:t>
      </w:r>
      <w:r>
        <w:rPr>
          <w:rFonts w:hint="eastAsia" w:ascii="仿宋_GB2312" w:eastAsia="仿宋_GB2312"/>
          <w:snapToGrid w:val="0"/>
          <w:color w:val="000000"/>
          <w:kern w:val="0"/>
          <w:sz w:val="32"/>
          <w:szCs w:val="32"/>
        </w:rPr>
        <w:t>“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五联”擦亮治理底色 老社区焕发新活力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jc w:val="both"/>
        <w:textAlignment w:val="auto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——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冷水滩区菱角山街道活龙井社区华丽嬗变</w:t>
      </w:r>
    </w:p>
    <w:p/>
    <w:p>
      <w:pPr>
        <w:pStyle w:val="2"/>
      </w:pPr>
    </w:p>
    <w:p/>
    <w:p>
      <w:pPr>
        <w:pStyle w:val="2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jc w:val="both"/>
        <w:textAlignment w:val="auto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jc w:val="both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rPr>
          <w:rFonts w:hint="eastAsia"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60" w:lineRule="exact"/>
        <w:ind w:firstLine="440" w:firstLineChars="100"/>
        <w:jc w:val="both"/>
        <w:rPr>
          <w:rFonts w:hint="eastAsia" w:ascii="方正小标宋_GBK" w:hAnsi="Calibri" w:eastAsia="方正小标宋_GBK"/>
          <w:snapToGrid w:val="0"/>
          <w:color w:val="000000"/>
          <w:kern w:val="0"/>
          <w:sz w:val="44"/>
          <w:szCs w:val="44"/>
          <w:lang w:eastAsia="zh-CN"/>
        </w:rPr>
      </w:pPr>
    </w:p>
    <w:p>
      <w:pPr>
        <w:spacing w:line="560" w:lineRule="exact"/>
        <w:ind w:firstLine="440" w:firstLineChars="100"/>
        <w:jc w:val="both"/>
        <w:rPr>
          <w:rFonts w:hint="eastAsia" w:ascii="方正小标宋_GBK" w:hAnsi="Calibri" w:eastAsia="方正小标宋_GBK"/>
          <w:snapToGrid w:val="0"/>
          <w:color w:val="000000"/>
          <w:kern w:val="0"/>
          <w:sz w:val="44"/>
          <w:szCs w:val="44"/>
          <w:lang w:eastAsia="zh-CN"/>
        </w:rPr>
      </w:pPr>
    </w:p>
    <w:p>
      <w:pPr>
        <w:spacing w:line="560" w:lineRule="exact"/>
        <w:ind w:firstLine="440" w:firstLineChars="100"/>
        <w:jc w:val="both"/>
        <w:rPr>
          <w:rFonts w:hint="eastAsia" w:ascii="方正小标宋_GBK" w:hAnsi="Calibri" w:eastAsia="方正小标宋_GBK"/>
          <w:snapToGrid w:val="0"/>
          <w:color w:val="000000"/>
          <w:kern w:val="0"/>
          <w:sz w:val="44"/>
          <w:szCs w:val="44"/>
          <w:lang w:eastAsia="zh-CN"/>
        </w:rPr>
      </w:pPr>
    </w:p>
    <w:p>
      <w:pPr>
        <w:spacing w:line="560" w:lineRule="exact"/>
        <w:ind w:firstLine="440" w:firstLineChars="100"/>
        <w:jc w:val="both"/>
        <w:rPr>
          <w:rFonts w:hint="eastAsia" w:ascii="方正小标宋_GBK" w:hAnsi="Calibri" w:eastAsia="方正小标宋_GBK"/>
          <w:snapToGrid w:val="0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Calibri" w:eastAsia="方正小标宋_GBK"/>
          <w:snapToGrid w:val="0"/>
          <w:color w:val="000000"/>
          <w:kern w:val="0"/>
          <w:sz w:val="44"/>
          <w:szCs w:val="44"/>
          <w:lang w:eastAsia="zh-CN"/>
        </w:rPr>
        <w:t>“</w:t>
      </w:r>
      <w:r>
        <w:rPr>
          <w:rFonts w:hint="eastAsia" w:ascii="方正小标宋_GBK" w:hAnsi="Calibri" w:eastAsia="方正小标宋_GBK"/>
          <w:snapToGrid w:val="0"/>
          <w:color w:val="000000"/>
          <w:kern w:val="0"/>
          <w:sz w:val="44"/>
          <w:szCs w:val="44"/>
        </w:rPr>
        <w:t>三治”融合赋“三好</w:t>
      </w:r>
      <w:r>
        <w:rPr>
          <w:rFonts w:hint="eastAsia" w:ascii="方正小标宋_GBK" w:hAnsi="Calibri" w:eastAsia="方正小标宋_GBK"/>
          <w:snapToGrid w:val="0"/>
          <w:color w:val="000000"/>
          <w:kern w:val="0"/>
          <w:sz w:val="44"/>
          <w:szCs w:val="44"/>
          <w:lang w:eastAsia="zh-CN"/>
        </w:rPr>
        <w:t>”</w:t>
      </w:r>
      <w:r>
        <w:rPr>
          <w:rFonts w:hint="eastAsia" w:ascii="方正小标宋_GBK" w:hAnsi="Calibri" w:eastAsia="方正小标宋_GBK"/>
          <w:snapToGrid w:val="0"/>
          <w:color w:val="000000"/>
          <w:kern w:val="0"/>
          <w:sz w:val="44"/>
          <w:szCs w:val="44"/>
        </w:rPr>
        <w:t>乡村治理富乡村</w:t>
      </w:r>
    </w:p>
    <w:p>
      <w:pPr>
        <w:spacing w:line="560" w:lineRule="exact"/>
        <w:rPr>
          <w:rFonts w:hint="eastAsia"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近年来，祁阳市丁庙湾村积极探索党建引领，秉持“自治是核心，德治是基础，法治是保障”的“三治”融合工作思路，推行乡村振兴月例会，创造了“大事一起干、好事大家判、事事有人管”的好经验。引进创办科清生物、青青制衣厂等企业2家，成功培育种植大户5家，种植水稻700亩、蔬菜200亩、特色水果220亩。先后被评为湖南省综合减灾示范村、湖南省卫生村、全国乡村治理示范村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/>
          <w:sz w:val="32"/>
          <w:szCs w:val="32"/>
        </w:rPr>
        <w:t>建强“好队伍”，打造自治核心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祁阳市丁庙湾</w:t>
      </w:r>
      <w:r>
        <w:rPr>
          <w:rFonts w:hint="eastAsia" w:ascii="仿宋_GB2312" w:hAnsi="仿宋_GB2312" w:eastAsia="仿宋_GB2312" w:cs="仿宋_GB2312"/>
          <w:sz w:val="32"/>
          <w:szCs w:val="32"/>
        </w:rPr>
        <w:t>村党支部开展“支部创红旗、党员创先锋、群众创十星”活动，充分发挥党员在乡村治理中的先锋模范作用，打造乡村治理的核心。</w:t>
      </w:r>
      <w:r>
        <w:rPr>
          <w:rFonts w:hint="eastAsia" w:ascii="仿宋_GB2312" w:eastAsia="仿宋_GB2312"/>
          <w:b/>
          <w:sz w:val="32"/>
          <w:szCs w:val="32"/>
        </w:rPr>
        <w:t>一是落实党建基础工作。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注重落实“三会一课”、民主评议、冬春训、主题党日、乡村振兴月例会等制度，村党校上课4次，培训党员120余人次；严格执行村干部值班、“一门式”服务制度，为群众代办事项2000余件，为全市“一门式”服务现场会召开提供现场。落实党建网格管理，将全村划分4个网格，设立17名网格员，每户张贴网格员公示牌，公布网格员微信号，群众有事扫微信号。</w:t>
      </w:r>
      <w:r>
        <w:rPr>
          <w:rFonts w:hint="eastAsia" w:ascii="仿宋_GB2312" w:eastAsia="仿宋_GB2312"/>
          <w:b/>
          <w:sz w:val="32"/>
          <w:szCs w:val="32"/>
        </w:rPr>
        <w:t>二是落实党员管理新机制。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对党员管理实施“四个一”机制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一名党员一块牌。</w:t>
      </w:r>
      <w:r>
        <w:rPr>
          <w:rFonts w:hint="eastAsia" w:ascii="仿宋_GB2312" w:hAnsi="仿宋_GB2312" w:eastAsia="仿宋_GB2312" w:cs="仿宋_GB2312"/>
          <w:sz w:val="32"/>
          <w:szCs w:val="32"/>
        </w:rPr>
        <w:t>每名党员的家门口都悬挂“我是共产党员”公示牌，亮明身份和职责，明确党员做到“四个带头”，即带头遵守党纪国法、带头参加组织生活、带头支持村组工作、带头创建十星家庭。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一名党员一个岗。</w:t>
      </w:r>
      <w:r>
        <w:rPr>
          <w:rFonts w:hint="eastAsia" w:ascii="仿宋_GB2312" w:hAnsi="仿宋_GB2312" w:eastAsia="仿宋_GB2312" w:cs="仿宋_GB2312"/>
          <w:sz w:val="32"/>
          <w:szCs w:val="32"/>
        </w:rPr>
        <w:t>对网格内的所有无职党员实行设岗定责，每名党员根据自身条件确定参政议政、党务村务监督、纠纷调解、环境卫生、政策宣传、社会治安、文明创建等岗位职责，在网格内履职尽责。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一名党员一家亲。</w:t>
      </w:r>
      <w:r>
        <w:rPr>
          <w:rFonts w:hint="eastAsia" w:ascii="仿宋_GB2312" w:hAnsi="仿宋_GB2312" w:eastAsia="仿宋_GB2312" w:cs="仿宋_GB2312"/>
          <w:sz w:val="32"/>
          <w:szCs w:val="32"/>
        </w:rPr>
        <w:t>每名党员在网格内联系结对若干户农户，做到上级政策宣讲到户、村“两委”决议传达到户、重点工作发动到户、意见建议征求到户，联系户有不满情绪必访、有大事急事必访、有突发事情必访、有危难贫困必访。比如60多岁的党员丁绍勇主动负责照顾五保户丁绍来，不怕脏不怕累，比照顾自己的亲生父母还用心，直到五保户去世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一名党员一面旗。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党员实绩考核和量化评定机制，实行每季一评、每年一奖、每届一推，在每年大年初一的春节文艺汇演上进行表彰，把思想素质好、工作能力强、业绩突出的农村党员纳入村后备干部人选，在全村树立创先争优的好导向。</w:t>
      </w:r>
      <w:r>
        <w:rPr>
          <w:rFonts w:hint="eastAsia" w:ascii="仿宋_GB2312" w:eastAsia="仿宋_GB2312"/>
          <w:b/>
          <w:sz w:val="32"/>
          <w:szCs w:val="32"/>
        </w:rPr>
        <w:t>三是探索村民自治新路子。</w:t>
      </w:r>
      <w:r>
        <w:rPr>
          <w:rFonts w:hint="eastAsia" w:ascii="仿宋_GB2312" w:hAnsi="仿宋_GB2312" w:eastAsia="仿宋_GB2312" w:cs="仿宋_GB2312"/>
          <w:sz w:val="32"/>
          <w:szCs w:val="32"/>
        </w:rPr>
        <w:t>成功探索出村民集中建房新路，村党支部通过几十次入户征求村民意见，最终探索出村民集中建房模式，实行统一用地、统一规划、统一风貌风格、统一施工、统一验收的农村建房“五统一标准”，集中建房五期26栋，解决了群众用地难、基础设施经费无保障等难题，经验做法推荐至国家住建部，为永州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乡村房屋建设管理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条例制订提供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了</w:t>
      </w:r>
      <w:r>
        <w:rPr>
          <w:rFonts w:hint="eastAsia" w:ascii="仿宋_GB2312" w:hAnsi="仿宋_GB2312" w:eastAsia="仿宋_GB2312" w:cs="仿宋_GB2312"/>
          <w:sz w:val="32"/>
          <w:szCs w:val="32"/>
        </w:rPr>
        <w:t>很好的案例。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/>
          <w:sz w:val="32"/>
          <w:szCs w:val="32"/>
        </w:rPr>
        <w:t>搭建“好舞台”，构筑法治保障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丁庙湾村通过“大事一起干、好事大家判、事事有人管”的管理模式，让村民们参与到村里大小事中来，做到大事不发生、小事不出村，筑牢法治保障。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搭建制度平台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成立“一约四会一队”，让“五老”成员任理事长，参与监督村级事务、重点项目。成立红白喜事理事会，由村“五老”成员担任理事会成员，村内所有红白喜事均由五老成员参与帮助操办，主办方需事先向理事会申报参加宴席人数，控制操办规模不超过10桌，费用不超过5万，就连村里百岁老人过生日摆酒席都没超过10桌，摆酒不上酒，只喝饮料，倡导健康生活、节俭办餐，杜绝铺张浪费，禁止大操大办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营造宣传氛围。</w:t>
      </w:r>
      <w:r>
        <w:rPr>
          <w:rFonts w:hint="eastAsia" w:ascii="仿宋_GB2312" w:hAnsi="仿宋_GB2312" w:eastAsia="仿宋_GB2312" w:cs="仿宋_GB2312"/>
          <w:sz w:val="32"/>
          <w:szCs w:val="32"/>
        </w:rPr>
        <w:t>利用主题党日、上党课、村民代表会议等形式，组织党员及村民代表学习法律法规，增强村民法治意识。成立法律法规宣传小分队，开展“零酒驾”巡回宣传，使法律宣传教育深入人心，创建祁阳市“零酒驾”示范村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突出建设实效。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实施“雪亮工程”，将社会治安纳入信息化监控管理，在全村主要路口及部分留守老人家庭安装50个监控摄像头，强化管控和服务工作。组织本村志愿者成立夜间巡逻队，当好村民安全“守护员”，村内社会治安状况大为好转，创建信访“三无”村。 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/>
          <w:sz w:val="32"/>
          <w:szCs w:val="32"/>
        </w:rPr>
        <w:t>培育“好乡风”，夯实德治基础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eastAsia="zh-CN"/>
        </w:rPr>
        <w:t>一是</w:t>
      </w:r>
      <w:r>
        <w:rPr>
          <w:rFonts w:hint="eastAsia" w:ascii="仿宋_GB2312" w:eastAsia="仿宋_GB2312"/>
          <w:b/>
          <w:sz w:val="32"/>
          <w:szCs w:val="32"/>
        </w:rPr>
        <w:t>大力弘扬乡风文明建设，</w:t>
      </w:r>
      <w:r>
        <w:rPr>
          <w:rFonts w:hint="eastAsia" w:ascii="仿宋_GB2312" w:hAnsi="仿宋_GB2312" w:eastAsia="仿宋_GB2312" w:cs="仿宋_GB2312"/>
          <w:sz w:val="32"/>
          <w:szCs w:val="32"/>
        </w:rPr>
        <w:t>切实做到“六个一”:建好一个群众舞台，办好一场文艺演出，每年大年初一，均举办春节文艺汇演，村支书在会上总结上年工作成绩，提出新一年的工作打算，表彰十星级文明户、卫生最清洁户、健康家庭，组织周边村一起参与表演文艺节目，融洽邻里关系；签好一份移风易俗承诺书；建好一条学“习”文化长廊，将习总书记经典言论展示在长廊上；开展好一项评比活动（即十星级文明户评比），丰富群众精神文化生活。办好一项大多数群众参与的公益事业。</w:t>
      </w:r>
      <w:r>
        <w:rPr>
          <w:rFonts w:hint="eastAsia" w:ascii="仿宋_GB2312" w:hAnsi="Times New Roman" w:eastAsia="仿宋_GB2312" w:cs="Times New Roman"/>
          <w:b/>
          <w:sz w:val="32"/>
          <w:szCs w:val="32"/>
          <w:lang w:eastAsia="zh-CN"/>
        </w:rPr>
        <w:t>二是发动乡贤助力乡村建设，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在丁庙湾村党支部的倡议下，46名村民自愿赞助村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里</w:t>
      </w:r>
      <w:r>
        <w:rPr>
          <w:rFonts w:hint="eastAsia" w:ascii="仿宋_GB2312" w:hAnsi="仿宋_GB2312" w:eastAsia="仿宋_GB2312" w:cs="仿宋_GB2312"/>
          <w:sz w:val="32"/>
          <w:szCs w:val="32"/>
        </w:rPr>
        <w:t>的路灯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建设，</w:t>
      </w:r>
      <w:r>
        <w:rPr>
          <w:rFonts w:hint="eastAsia" w:ascii="仿宋_GB2312" w:hAnsi="仿宋_GB2312" w:eastAsia="仿宋_GB2312" w:cs="仿宋_GB2312"/>
          <w:sz w:val="32"/>
          <w:szCs w:val="32"/>
        </w:rPr>
        <w:t>村旗杆、旗台、乡村大舞台、村会议室空调均为群众捐资建设。村支两委在文化长廊上张贴了乡贤榜，将乡贤照片、捐资数量、所做贡献进行张榜公示，增强了村民的家乡情怀、提升了村民的荣誉感、归宿感，增强了村党支部的号召力和凝聚力。</w:t>
      </w:r>
      <w:r>
        <w:rPr>
          <w:rFonts w:hint="eastAsia" w:ascii="仿宋_GB2312" w:hAnsi="Times New Roman" w:eastAsia="仿宋_GB2312" w:cs="Times New Roman"/>
          <w:b/>
          <w:sz w:val="32"/>
          <w:szCs w:val="32"/>
          <w:lang w:eastAsia="zh-CN"/>
        </w:rPr>
        <w:t>三是积极开展人居环境整治。</w:t>
      </w:r>
      <w:r>
        <w:rPr>
          <w:rFonts w:hint="eastAsia" w:ascii="仿宋_GB2312" w:hAnsi="Times New Roman" w:eastAsia="仿宋_GB2312" w:cs="Times New Roman"/>
          <w:b w:val="0"/>
          <w:bCs/>
          <w:sz w:val="32"/>
          <w:szCs w:val="32"/>
          <w:lang w:eastAsia="zh-CN"/>
        </w:rPr>
        <w:t>落实“一拆二改三种四归五制六小”建设，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拆除空心房60</w:t>
      </w:r>
      <w:r>
        <w:rPr>
          <w:rFonts w:hint="eastAsia" w:ascii="仿宋_GB2312" w:hAnsi="仿宋_GB2312" w:eastAsia="仿宋_GB2312" w:cs="仿宋_GB2312"/>
          <w:sz w:val="32"/>
          <w:szCs w:val="32"/>
        </w:rPr>
        <w:t>00平方米，完成改水改厕170余户，开展种树、种花、种果活动，种植各类大苗1500株、花草2000平方米、果树50亩；实施“柴草归堆、鸡鸭归圈、垃圾归箱、污水归渠”活动，制订“村规民约、卫生评比、门前三包、卫生保洁、卫生费收取”五项制度，全面开展有“小菜园、小果园、小花园、小游园、小庭院、小屋场”等“六小”项目建设，村容村貌焕然一新。</w:t>
      </w:r>
    </w:p>
    <w:p>
      <w:pPr>
        <w:pStyle w:val="2"/>
        <w:rPr>
          <w:rFonts w:hint="eastAsia" w:ascii="Times New Roman" w:hAnsi="Times New Roman" w:eastAsia="楷体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  <w:r>
        <w:rPr>
          <w:rFonts w:hint="eastAsia" w:ascii="Times New Roman" w:hAnsi="Times New Roman" w:eastAsia="楷体_GB2312" w:cs="Times New Roman"/>
          <w:b/>
          <w:bCs/>
          <w:kern w:val="2"/>
          <w:sz w:val="32"/>
          <w:szCs w:val="32"/>
          <w:lang w:val="en-US" w:eastAsia="zh-CN" w:bidi="ar-SA"/>
        </w:rPr>
        <w:t>（根据祁阳市创建办报送材料整理）</w:t>
      </w:r>
    </w:p>
    <w:p>
      <w:pPr>
        <w:rPr>
          <w:rFonts w:hint="eastAsia" w:ascii="Times New Roman" w:hAnsi="Times New Roman" w:eastAsia="楷体_GB2312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 w:ascii="Times New Roman" w:hAnsi="Times New Roman" w:eastAsia="楷体_GB2312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Times New Roman" w:hAnsi="Times New Roman" w:eastAsia="楷体_GB2312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 w:ascii="Times New Roman" w:hAnsi="Times New Roman" w:eastAsia="楷体_GB2312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“五联”擦亮治理底色 老社区焕发新活力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——冷水滩区菱角山街道</w:t>
      </w:r>
      <w:r>
        <w:rPr>
          <w:rFonts w:hint="eastAsia" w:ascii="仿宋" w:hAnsi="仿宋" w:eastAsia="仿宋" w:cs="仿宋"/>
          <w:sz w:val="32"/>
          <w:szCs w:val="32"/>
        </w:rPr>
        <w:t>活龙井社区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华丽嬗变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活龙井社区位于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冷水滩区</w:t>
      </w:r>
      <w:r>
        <w:rPr>
          <w:rFonts w:hint="eastAsia" w:ascii="仿宋" w:hAnsi="仿宋" w:eastAsia="仿宋" w:cs="仿宋"/>
          <w:sz w:val="32"/>
          <w:szCs w:val="32"/>
        </w:rPr>
        <w:t>零陵中路，辖区面积1.6平方公里，居民6217门户，总人口1.7万余人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。以前社区基础设施破旧，</w:t>
      </w:r>
      <w:r>
        <w:rPr>
          <w:rFonts w:hint="eastAsia" w:ascii="仿宋" w:hAnsi="仿宋" w:eastAsia="仿宋" w:cs="仿宋"/>
          <w:sz w:val="32"/>
          <w:szCs w:val="32"/>
        </w:rPr>
        <w:t>改制倒闭企业多，社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情</w:t>
      </w:r>
      <w:r>
        <w:rPr>
          <w:rFonts w:hint="eastAsia" w:ascii="仿宋" w:hAnsi="仿宋" w:eastAsia="仿宋" w:cs="仿宋"/>
          <w:sz w:val="32"/>
          <w:szCs w:val="32"/>
        </w:rPr>
        <w:t>民意复杂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，是</w:t>
      </w:r>
      <w:r>
        <w:rPr>
          <w:rFonts w:hint="eastAsia" w:ascii="仿宋" w:hAnsi="仿宋" w:eastAsia="仿宋" w:cs="仿宋"/>
          <w:sz w:val="32"/>
          <w:szCs w:val="32"/>
        </w:rPr>
        <w:t>典型的“脏乱差”社区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。近年来，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社区坚持</w:t>
      </w:r>
      <w:r>
        <w:rPr>
          <w:rFonts w:hint="eastAsia" w:ascii="仿宋" w:hAnsi="仿宋" w:eastAsia="仿宋" w:cs="仿宋"/>
          <w:sz w:val="32"/>
          <w:szCs w:val="32"/>
        </w:rPr>
        <w:t>以民为本，创新社会治理方式，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形成了“网格联建、志愿联动、纠纷联调、警务联抓、一门联办”的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“五联”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治理模式，大力推进老旧城区改造，实现了从“铁路破旧老区”到“休闲文明新区”的华丽嬗变。2020年，被列为全省老旧小区改造示范点；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2021年，被推荐参评全国学雷锋志愿服务最美志愿服务社区；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多次被评为平安建设工作先进社区，居民幸福感、获得感和安全感显著提升。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精细管理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——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网格联建 共绘社区蓝图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bCs w:val="0"/>
          <w:color w:val="auto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整合多方资源，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开展以全员化排查、网格化管理、精细化服务、信息化支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撑、制度化治理为主要内容的“五化”网格化建设，提升网格服务效能。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一是社区共织一张网。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建立网格管理责任制，将社区划分6个大网格，17个小网格，明确各网格负责人。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按照“以房管人”的原则</w:t>
      </w:r>
      <w:r>
        <w:rPr>
          <w:rFonts w:hint="eastAsia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开展全员化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信息采集，</w:t>
      </w:r>
      <w:r>
        <w:rPr>
          <w:rFonts w:hint="eastAsia" w:ascii="仿宋" w:hAnsi="仿宋" w:eastAsia="仿宋" w:cs="仿宋"/>
          <w:sz w:val="32"/>
          <w:szCs w:val="32"/>
        </w:rPr>
        <w:t>做到网格内“人清、地清、物清、事清”</w:t>
      </w:r>
      <w:r>
        <w:rPr>
          <w:rFonts w:hint="eastAsia" w:ascii="仿宋" w:hAnsi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实现对网格内居民的全覆盖、全方位、全过程动态服务管理。发挥“一网统管”优势，统筹社区领导、网格员及联点单位的力量，推进“多方联动”，实现一岗多责、一员多能，形成以社区党支部为核心的条块结合的社区管理模式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二是网格共拧一根绳。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val="en-US" w:eastAsia="zh-CN" w:bidi="ar-SA"/>
        </w:rPr>
        <w:t>实行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“1+N+X”网格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val="en-US" w:eastAsia="zh-CN" w:bidi="ar-SA"/>
        </w:rPr>
        <w:t>管理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模式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（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“1”是社区网格；“N”是职能部门、后盾联点共建单位、社区综合执法站；“X”是以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好邻居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为代表的8支居民志愿者队伍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）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，由网格员延伸到楼栋长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、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街巷长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，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到联点共建后盾单位和职能部门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，再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到志愿服务组织，上下联动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、左右衔接、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形成合力，实现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网格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管理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“横向到边，纵向到底”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三是居民共下一盘棋。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val="en-US" w:eastAsia="zh-CN" w:bidi="ar-SA"/>
        </w:rPr>
        <w:t>始终坚持为民、惠民、靠民的理念，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从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val="en-US" w:eastAsia="zh-CN" w:bidi="ar-SA"/>
        </w:rPr>
        <w:t>居民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最关心、最现实、最直接的问题入手，引导辖区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居民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共同参与志愿服务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、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法律宣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讲、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卫生监督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等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社区事务，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val="en-US" w:eastAsia="zh-CN" w:bidi="ar-SA"/>
        </w:rPr>
        <w:t>推动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形成社会治理人人有责、人人尽责的局面。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今年来，累计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为群众提供紧急救助服务236人次、法律咨询服务327人次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，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收集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val="en-US" w:eastAsia="zh-CN" w:bidi="ar-SA"/>
        </w:rPr>
        <w:t>和解决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群众诉求4896件。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default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精致服务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——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志愿联动 共树文明新风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组建志愿者队伍，构建线上线下双轮驱动的志愿服务综合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体。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一是“大数据”赋能精准管理。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依托区新时代文明实践中心大数据云平台，打造志愿者注册、参与志愿活动、量化服务时长、质量评价、排名排位的全链条、纯线上志愿服务模式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，一站式精准管理社区所有志愿者活动。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“数据库”现有</w:t>
      </w:r>
      <w:r>
        <w:rPr>
          <w:rFonts w:hint="eastAsia" w:ascii="仿宋" w:hAnsi="仿宋" w:eastAsia="仿宋" w:cs="仿宋"/>
          <w:sz w:val="32"/>
          <w:szCs w:val="32"/>
        </w:rPr>
        <w:t>8支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志愿服务</w:t>
      </w:r>
      <w:r>
        <w:rPr>
          <w:rFonts w:hint="eastAsia" w:ascii="仿宋" w:hAnsi="仿宋" w:eastAsia="仿宋" w:cs="仿宋"/>
          <w:sz w:val="32"/>
          <w:szCs w:val="32"/>
        </w:rPr>
        <w:t>队伍，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</w:t>
      </w:r>
      <w:r>
        <w:rPr>
          <w:rFonts w:hint="eastAsia" w:ascii="仿宋" w:hAnsi="仿宋" w:eastAsia="仿宋" w:cs="仿宋"/>
          <w:sz w:val="32"/>
          <w:szCs w:val="32"/>
        </w:rPr>
        <w:t>册志愿者达2000余人，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已</w:t>
      </w:r>
      <w:r>
        <w:rPr>
          <w:rFonts w:hint="eastAsia" w:ascii="仿宋" w:hAnsi="仿宋" w:eastAsia="仿宋" w:cs="仿宋"/>
          <w:sz w:val="32"/>
          <w:szCs w:val="32"/>
        </w:rPr>
        <w:t>累计收集解决居民诉求200余个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仿宋_GB2312" w:eastAsia="仿宋_GB2312" w:cs="仿宋_GB2312"/>
          <w:b/>
          <w:bCs/>
          <w:color w:val="auto"/>
          <w:sz w:val="32"/>
          <w:szCs w:val="32"/>
          <w:lang w:bidi="ar-SA"/>
        </w:rPr>
        <w:t>“四单”</w:t>
      </w:r>
      <w:r>
        <w:rPr>
          <w:rFonts w:hint="eastAsia" w:ascii="仿宋_GB2312" w:eastAsia="仿宋_GB2312" w:cs="仿宋_GB2312"/>
          <w:b/>
          <w:bCs/>
          <w:color w:val="auto"/>
          <w:sz w:val="32"/>
          <w:szCs w:val="32"/>
          <w:lang w:eastAsia="zh-CN" w:bidi="ar-SA"/>
        </w:rPr>
        <w:t>推动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精准服务。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结合文明创建设计志愿服务内容，建立“四单”（群众点单、中心派单、志愿者接单、群众评单）服务项目库12个，涉及生产生活、社会治理、文明劝导项目200多个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，其中“群众点单”环节实现了对群众特色需求的精准回应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。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eastAsia="zh-CN" w:bidi="ar-SA"/>
        </w:rPr>
        <w:t>今年来，通过“四单”方式，</w:t>
      </w:r>
      <w:r>
        <w:rPr>
          <w:rFonts w:hint="eastAsia" w:ascii="仿宋" w:hAnsi="仿宋" w:eastAsia="仿宋" w:cs="仿宋"/>
          <w:sz w:val="32"/>
          <w:szCs w:val="32"/>
        </w:rPr>
        <w:t>开展环境卫生整治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文明劝导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助老扶幼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扶贫帮困等各类公益活动678次，参加志愿服务人数6000多人次，累计服务时长达15000小时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三是“时间银行”实现精准激励。</w:t>
      </w:r>
      <w:r>
        <w:rPr>
          <w:rFonts w:hint="eastAsia" w:ascii="仿宋" w:hAnsi="仿宋" w:eastAsia="仿宋" w:cs="仿宋"/>
          <w:sz w:val="32"/>
          <w:szCs w:val="32"/>
        </w:rPr>
        <w:t>探索志愿服务长效激励机制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，创建</w:t>
      </w:r>
      <w:r>
        <w:rPr>
          <w:rFonts w:hint="eastAsia" w:ascii="仿宋" w:hAnsi="仿宋" w:eastAsia="仿宋" w:cs="仿宋"/>
          <w:sz w:val="32"/>
          <w:szCs w:val="32"/>
        </w:rPr>
        <w:t>社区“时间银行”超市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以服务换服务，以服务换积分，以积分换褒奖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出台志愿者星级评定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教育服务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就业择业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社会保障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小小志愿者</w:t>
      </w:r>
      <w:r>
        <w:rPr>
          <w:rFonts w:hint="eastAsia" w:ascii="仿宋_GB2312" w:eastAsia="仿宋_GB2312" w:cs="仿宋_GB2312"/>
          <w:bCs w:val="0"/>
          <w:color w:val="auto"/>
          <w:sz w:val="32"/>
          <w:szCs w:val="32"/>
          <w:lang w:bidi="ar-SA"/>
        </w:rPr>
        <w:t>礼遇等系列褒奖办法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目前，已有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200余名志愿者</w:t>
      </w:r>
      <w:r>
        <w:rPr>
          <w:rFonts w:hint="eastAsia" w:ascii="仿宋" w:hAnsi="仿宋" w:eastAsia="仿宋" w:cs="仿宋"/>
          <w:sz w:val="32"/>
          <w:szCs w:val="32"/>
        </w:rPr>
        <w:t>从“时间银行”中支取“被服务时间”，用积分兑换心理咨询、四点半课堂儿童托管、健康检查、家庭教育等服务和小商品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，激发了社区志愿者投身志愿服务的热情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default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精准化解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——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纠纷联调 共建和谐关系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  <w:lang w:val="en-US" w:eastAsia="zh-CN"/>
        </w:rPr>
        <w:t>积极践行“枫桥经验”，充分调动多方力量参与调解，抓实矛盾纠纷多元调处。</w:t>
      </w:r>
      <w:r>
        <w:rPr>
          <w:rStyle w:val="15"/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一是建机制搭平台。</w:t>
      </w:r>
      <w:r>
        <w:rPr>
          <w:rStyle w:val="15"/>
          <w:rFonts w:hint="eastAsia" w:ascii="仿宋" w:hAnsi="仿宋" w:eastAsia="仿宋" w:cs="Times New Roman"/>
          <w:sz w:val="32"/>
          <w:szCs w:val="32"/>
          <w:lang w:val="en-US" w:eastAsia="zh-CN"/>
        </w:rPr>
        <w:t>建立社区人民调解委员会，</w:t>
      </w:r>
      <w:r>
        <w:rPr>
          <w:rStyle w:val="15"/>
          <w:rFonts w:hint="eastAsia" w:ascii="仿宋" w:hAnsi="仿宋" w:eastAsia="仿宋" w:cs="Times New Roman"/>
          <w:sz w:val="32"/>
          <w:szCs w:val="32"/>
          <w:rtl w:val="0"/>
          <w:lang w:val="en-US" w:eastAsia="zh-CN"/>
        </w:rPr>
        <w:t>建立“好邻居”（志愿者）+政法“五老”调解工作机制，实行综治、调解、信访联合办公。目前，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-6"/>
          <w:w w:val="100"/>
          <w:sz w:val="32"/>
          <w:szCs w:val="32"/>
          <w:lang w:val="en-US" w:eastAsia="zh-CN"/>
        </w:rPr>
        <w:t>聘请了5名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"/>
        </w:rPr>
        <w:t>老党员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-6"/>
          <w:w w:val="100"/>
          <w:sz w:val="32"/>
          <w:szCs w:val="32"/>
          <w:lang w:val="en-US" w:eastAsia="zh-CN"/>
        </w:rPr>
        <w:t>、热心群众组成“好邻居”调解队伍，</w:t>
      </w:r>
      <w:r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"/>
        </w:rPr>
        <w:t>及时就地化解邻里矛盾</w:t>
      </w:r>
      <w:r>
        <w:rPr>
          <w:rStyle w:val="15"/>
          <w:rFonts w:hint="eastAsia" w:ascii="仿宋" w:hAnsi="仿宋" w:eastAsia="仿宋" w:cs="Times New Roman"/>
          <w:sz w:val="32"/>
          <w:szCs w:val="32"/>
          <w:rtl w:val="0"/>
          <w:lang w:val="en-US" w:eastAsia="zh-CN"/>
        </w:rPr>
        <w:t>。</w:t>
      </w:r>
      <w:r>
        <w:rPr>
          <w:rStyle w:val="15"/>
          <w:rFonts w:hint="eastAsia" w:ascii="仿宋" w:hAnsi="仿宋" w:eastAsia="仿宋" w:cs="Times New Roman"/>
          <w:b/>
          <w:bCs/>
          <w:sz w:val="32"/>
          <w:szCs w:val="32"/>
          <w:rtl w:val="0"/>
          <w:lang w:val="en-US" w:eastAsia="zh-CN"/>
        </w:rPr>
        <w:t>二是引专家借优势。</w:t>
      </w:r>
      <w:r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"/>
        </w:rPr>
        <w:t>推行政法“五老”调解，利用政法“五老”人员的经验、专业优势，及时有效解决群众遇到的困难和问题，促进社区和谐稳定</w:t>
      </w:r>
      <w:r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rtl w:val="0"/>
          <w:lang w:val="en-US" w:eastAsia="zh-CN" w:bidi="ar"/>
        </w:rPr>
        <w:t>。现有</w:t>
      </w:r>
      <w:r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"/>
        </w:rPr>
        <w:t>2名政法“五老”人员联系社区，以流动约访的方式，推动矛盾动态化解。</w:t>
      </w:r>
      <w:r>
        <w:rPr>
          <w:rStyle w:val="15"/>
          <w:rFonts w:hint="eastAsia" w:ascii="仿宋" w:hAnsi="仿宋" w:eastAsia="仿宋" w:cs="Times New Roman"/>
          <w:b/>
          <w:bCs/>
          <w:sz w:val="32"/>
          <w:szCs w:val="32"/>
          <w:rtl w:val="0"/>
          <w:lang w:val="en-US" w:eastAsia="zh-CN"/>
        </w:rPr>
        <w:t>三是融多元汇力量。</w:t>
      </w:r>
      <w:r>
        <w:rPr>
          <w:rStyle w:val="15"/>
          <w:rFonts w:hint="eastAsia" w:ascii="仿宋" w:hAnsi="仿宋" w:eastAsia="仿宋" w:cs="Times New Roman"/>
          <w:sz w:val="32"/>
          <w:szCs w:val="32"/>
          <w:rtl w:val="0"/>
          <w:lang w:val="en-US" w:eastAsia="zh-CN"/>
        </w:rPr>
        <w:t>依托社区联建、居民联治、志愿联动等手段，将工作触角延伸到楼栋，推选54名经验丰富、责任心强、群众威望高的老党员、退休老干部、个体工商户担任楼栋长、街巷长，协助调解邻里矛盾纠纷，坚决做到“小问题不出楼栋，难事不出社区”。今年来，社区共调解纠纷92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精确治理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——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警务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联抓 共筑平安根基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黑体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以县域警务示范点创建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</w:t>
      </w:r>
      <w:r>
        <w:rPr>
          <w:rFonts w:hint="eastAsia" w:ascii="仿宋" w:hAnsi="仿宋" w:eastAsia="仿宋" w:cs="仿宋"/>
          <w:sz w:val="32"/>
          <w:szCs w:val="32"/>
        </w:rPr>
        <w:t>契机，整治环境乱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治安秩序乱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文化环境乱“三乱”现象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全力</w:t>
      </w:r>
      <w:r>
        <w:rPr>
          <w:rFonts w:hint="eastAsia" w:ascii="仿宋" w:hAnsi="仿宋" w:eastAsia="仿宋" w:cs="仿宋"/>
          <w:sz w:val="32"/>
          <w:szCs w:val="32"/>
        </w:rPr>
        <w:t>打造社区警务示范点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抓“网格+警格”。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构建</w:t>
      </w:r>
      <w:r>
        <w:rPr>
          <w:rFonts w:hint="eastAsia" w:ascii="仿宋_GB2312" w:eastAsia="仿宋_GB2312"/>
          <w:sz w:val="32"/>
          <w:szCs w:val="32"/>
        </w:rPr>
        <w:t>“2+2+N”</w:t>
      </w:r>
      <w:r>
        <w:rPr>
          <w:rFonts w:hint="eastAsia" w:ascii="仿宋" w:hAnsi="仿宋" w:eastAsia="仿宋" w:cs="仿宋"/>
          <w:sz w:val="32"/>
          <w:szCs w:val="32"/>
        </w:rPr>
        <w:t>“网格+警格”工作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模式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立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个快反135群防平台，成立3支常规巡逻队伍，新增监控60个</w:t>
      </w:r>
      <w:r>
        <w:rPr>
          <w:rFonts w:hint="eastAsia" w:ascii="仿宋_GB2312" w:hAnsi="黑体" w:eastAsia="仿宋_GB2312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实行</w:t>
      </w:r>
      <w:r>
        <w:rPr>
          <w:rFonts w:hint="eastAsia" w:ascii="仿宋_GB2312" w:eastAsia="仿宋_GB2312"/>
          <w:sz w:val="32"/>
          <w:szCs w:val="32"/>
        </w:rPr>
        <w:t>网格主抓、警格守底、社区统筹</w:t>
      </w:r>
      <w:r>
        <w:rPr>
          <w:rFonts w:hint="eastAsia" w:ascii="仿宋_GB2312" w:eastAsia="仿宋_GB2312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sz w:val="32"/>
          <w:szCs w:val="32"/>
        </w:rPr>
        <w:t>问题联治、工作联动、社区联创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履行巡逻防控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协助处警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纠纷调处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内部防范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法治宣传等职责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二是抓“排查+预警”。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对</w:t>
      </w:r>
      <w:r>
        <w:rPr>
          <w:rFonts w:hint="eastAsia" w:ascii="仿宋" w:hAnsi="仿宋" w:eastAsia="仿宋" w:cs="仿宋"/>
          <w:sz w:val="32"/>
          <w:szCs w:val="32"/>
        </w:rPr>
        <w:t>标对表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确定一、二、三类风险等级，依据风险数据绘制《风险动态预警展示图》《辖区网格风险等级分类图》，所有风险维度实行数据上墙、挂图作战，重点工作依据风险数据变动随时调整、随时落实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，今年来</w:t>
      </w:r>
      <w:r>
        <w:rPr>
          <w:rFonts w:hint="eastAsia" w:ascii="仿宋" w:hAnsi="仿宋" w:eastAsia="仿宋" w:cs="仿宋"/>
          <w:sz w:val="32"/>
          <w:szCs w:val="32"/>
        </w:rPr>
        <w:t>共排查整治安全隐患64个，提供各类违法犯罪线索6条。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三是抓“常态+长远”。</w:t>
      </w:r>
      <w:r>
        <w:rPr>
          <w:rFonts w:hint="eastAsia" w:ascii="仿宋" w:hAnsi="仿宋" w:eastAsia="仿宋" w:cs="仿宋"/>
          <w:sz w:val="32"/>
          <w:szCs w:val="32"/>
        </w:rPr>
        <w:t>积极开展文明安全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反电信网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络</w:t>
      </w:r>
      <w:r>
        <w:rPr>
          <w:rFonts w:hint="eastAsia" w:ascii="仿宋" w:hAnsi="仿宋" w:eastAsia="仿宋" w:cs="仿宋"/>
          <w:sz w:val="32"/>
          <w:szCs w:val="32"/>
        </w:rPr>
        <w:t>诈骗安全防范教育，加强帮教工作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及时掌握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辖区</w:t>
      </w:r>
      <w:r>
        <w:rPr>
          <w:rFonts w:hint="eastAsia" w:ascii="仿宋" w:hAnsi="仿宋" w:eastAsia="仿宋" w:cs="仿宋"/>
          <w:sz w:val="32"/>
          <w:szCs w:val="32"/>
        </w:rPr>
        <w:t>社会治安动态，发现报告不安定因素，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</w:t>
      </w:r>
      <w:r>
        <w:rPr>
          <w:rFonts w:hint="eastAsia" w:ascii="仿宋_GB2312" w:eastAsia="仿宋_GB2312"/>
          <w:sz w:val="32"/>
          <w:szCs w:val="32"/>
        </w:rPr>
        <w:t>常态化开展巡逻防控和视频巡查，</w:t>
      </w:r>
      <w:r>
        <w:rPr>
          <w:rFonts w:hint="eastAsia" w:ascii="仿宋_GB2312" w:hAnsi="黑体" w:eastAsia="仿宋_GB2312" w:cs="仿宋"/>
          <w:sz w:val="32"/>
          <w:szCs w:val="32"/>
        </w:rPr>
        <w:t>推动基层警务与社区治理跨界共融、责任共担</w:t>
      </w:r>
      <w:r>
        <w:rPr>
          <w:rFonts w:hint="eastAsia" w:ascii="仿宋_GB2312" w:hAnsi="黑体" w:eastAsia="仿宋_GB2312" w:cs="仿宋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 w:cs="仿宋"/>
          <w:sz w:val="32"/>
          <w:szCs w:val="32"/>
        </w:rPr>
        <w:t>多元共治</w:t>
      </w:r>
      <w:r>
        <w:rPr>
          <w:rFonts w:hint="eastAsia" w:ascii="仿宋_GB2312" w:hAnsi="黑体" w:eastAsia="仿宋_GB2312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推动</w:t>
      </w:r>
      <w:r>
        <w:rPr>
          <w:rFonts w:hint="eastAsia" w:ascii="仿宋" w:hAnsi="仿宋" w:eastAsia="仿宋" w:cs="仿宋"/>
          <w:sz w:val="32"/>
          <w:szCs w:val="32"/>
        </w:rPr>
        <w:t>社区警务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常态化</w:t>
      </w:r>
      <w:r>
        <w:rPr>
          <w:rFonts w:hint="eastAsia" w:ascii="仿宋_GB2312" w:hAnsi="黑体" w:eastAsia="仿宋_GB2312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default" w:ascii="仿宋_GB2312" w:hAnsi="黑体" w:eastAsia="楷体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精心受理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——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一门联办 共顺民意民心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黑体" w:eastAsia="仿宋_GB2312" w:cs="仿宋"/>
          <w:sz w:val="32"/>
          <w:szCs w:val="32"/>
        </w:rPr>
        <w:t>以方便群众办事为中心，</w:t>
      </w:r>
      <w:r>
        <w:rPr>
          <w:rFonts w:hint="eastAsia" w:ascii="仿宋_GB2312" w:hAnsi="黑体" w:eastAsia="仿宋_GB2312" w:cs="仿宋"/>
          <w:sz w:val="32"/>
          <w:szCs w:val="32"/>
          <w:lang w:val="en-US" w:eastAsia="zh-CN"/>
        </w:rPr>
        <w:t>全面推行政务</w:t>
      </w:r>
      <w:r>
        <w:rPr>
          <w:rFonts w:hint="eastAsia" w:ascii="仿宋_GB2312" w:hAnsi="黑体" w:eastAsia="仿宋_GB2312" w:cs="仿宋"/>
          <w:sz w:val="32"/>
          <w:szCs w:val="32"/>
        </w:rPr>
        <w:t>服务“一门式”</w:t>
      </w:r>
      <w:r>
        <w:rPr>
          <w:rFonts w:hint="eastAsia" w:ascii="仿宋_GB2312" w:hAnsi="黑体" w:eastAsia="仿宋_GB2312" w:cs="仿宋"/>
          <w:sz w:val="32"/>
          <w:szCs w:val="32"/>
          <w:lang w:val="en-US" w:eastAsia="zh-CN"/>
        </w:rPr>
        <w:t>，</w:t>
      </w:r>
      <w:r>
        <w:rPr>
          <w:rFonts w:hint="eastAsia" w:ascii="仿宋_GB2312" w:hAnsi="黑体" w:eastAsia="仿宋_GB2312" w:cs="仿宋"/>
          <w:sz w:val="32"/>
          <w:szCs w:val="32"/>
        </w:rPr>
        <w:t>逐步实现</w:t>
      </w:r>
      <w:r>
        <w:rPr>
          <w:rFonts w:hint="eastAsia" w:ascii="仿宋_GB2312" w:hAnsi="黑体" w:eastAsia="仿宋_GB2312" w:cs="仿宋"/>
          <w:sz w:val="32"/>
          <w:szCs w:val="32"/>
          <w:lang w:val="en-US" w:eastAsia="zh-CN"/>
        </w:rPr>
        <w:t>社区</w:t>
      </w:r>
      <w:r>
        <w:rPr>
          <w:rFonts w:hint="eastAsia" w:ascii="仿宋_GB2312" w:hAnsi="黑体" w:eastAsia="仿宋_GB2312" w:cs="仿宋"/>
          <w:sz w:val="32"/>
          <w:szCs w:val="32"/>
        </w:rPr>
        <w:t>公共服务便利化、统一化、网络化</w:t>
      </w:r>
      <w:r>
        <w:rPr>
          <w:rFonts w:hint="eastAsia" w:ascii="仿宋_GB2312" w:hAnsi="黑体" w:eastAsia="仿宋_GB2312" w:cs="仿宋"/>
          <w:sz w:val="32"/>
          <w:szCs w:val="32"/>
          <w:lang w:eastAsia="zh-CN"/>
        </w:rPr>
        <w:t>。</w:t>
      </w:r>
      <w:r>
        <w:rPr>
          <w:rFonts w:hint="eastAsia" w:ascii="仿宋_GB2312" w:hAnsi="黑体" w:eastAsia="仿宋_GB2312" w:cs="仿宋"/>
          <w:b/>
          <w:bCs/>
          <w:sz w:val="32"/>
          <w:szCs w:val="32"/>
          <w:lang w:val="en-US" w:eastAsia="zh-CN"/>
        </w:rPr>
        <w:t>一是一门式管理</w:t>
      </w:r>
      <w:r>
        <w:rPr>
          <w:rFonts w:hint="eastAsia" w:ascii="仿宋_GB2312" w:hAnsi="黑体" w:eastAsia="仿宋_GB2312" w:cs="仿宋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黑体" w:eastAsia="仿宋_GB2312" w:cs="仿宋"/>
          <w:sz w:val="32"/>
          <w:szCs w:val="32"/>
        </w:rPr>
        <w:t>规范设立政府各部门下沉服务的办事场所和服务机构，建立“前台一口受理、后台协同办理”的工作机制。</w:t>
      </w:r>
      <w:r>
        <w:rPr>
          <w:rFonts w:hint="eastAsia" w:ascii="仿宋_GB2312" w:hAnsi="黑体" w:eastAsia="仿宋_GB2312" w:cs="仿宋"/>
          <w:b/>
          <w:bCs/>
          <w:sz w:val="32"/>
          <w:szCs w:val="32"/>
          <w:lang w:val="en-US" w:eastAsia="zh-CN"/>
        </w:rPr>
        <w:t>二是一站式办理。</w:t>
      </w:r>
      <w:r>
        <w:rPr>
          <w:rFonts w:hint="eastAsia" w:ascii="仿宋_GB2312" w:hAnsi="黑体" w:eastAsia="仿宋_GB2312" w:cs="仿宋"/>
          <w:sz w:val="32"/>
          <w:szCs w:val="32"/>
        </w:rPr>
        <w:t>依托“互联网+政务服务”一体化平台，厘出4</w:t>
      </w:r>
      <w:r>
        <w:rPr>
          <w:rFonts w:hint="eastAsia" w:ascii="仿宋_GB2312" w:hAnsi="黑体" w:eastAsia="仿宋_GB2312" w:cs="仿宋"/>
          <w:sz w:val="32"/>
          <w:szCs w:val="32"/>
          <w:lang w:val="en-US" w:eastAsia="zh-CN"/>
        </w:rPr>
        <w:t>7</w:t>
      </w:r>
      <w:r>
        <w:rPr>
          <w:rFonts w:hint="eastAsia" w:ascii="仿宋_GB2312" w:hAnsi="黑体" w:eastAsia="仿宋_GB2312" w:cs="仿宋"/>
          <w:sz w:val="32"/>
          <w:szCs w:val="32"/>
        </w:rPr>
        <w:t>项社区政务服务与公共服务事项清单，推进政务服务线上线下融合，加强平台与</w:t>
      </w:r>
      <w:r>
        <w:rPr>
          <w:rFonts w:hint="eastAsia" w:ascii="仿宋_GB2312" w:hAnsi="黑体" w:eastAsia="仿宋_GB2312" w:cs="仿宋"/>
          <w:sz w:val="32"/>
          <w:szCs w:val="32"/>
          <w:lang w:val="en-US" w:eastAsia="zh-CN"/>
        </w:rPr>
        <w:t>街道</w:t>
      </w:r>
      <w:r>
        <w:rPr>
          <w:rFonts w:hint="eastAsia" w:ascii="仿宋_GB2312" w:hAnsi="黑体" w:eastAsia="仿宋_GB2312" w:cs="仿宋"/>
          <w:sz w:val="32"/>
          <w:szCs w:val="32"/>
        </w:rPr>
        <w:t>、区两级平台的衔接互动，受理办件12000人次，办结率100%，解决为民办实事</w:t>
      </w: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12件。</w:t>
      </w:r>
      <w:r>
        <w:rPr>
          <w:rFonts w:hint="eastAsia" w:ascii="仿宋" w:hAnsi="仿宋" w:eastAsia="仿宋" w:cs="仿宋"/>
          <w:b/>
          <w:bCs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三是一掌式掌控。</w:t>
      </w: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大力推广“我的永州”APP达2052户，组建微信监督服务群17个。目前已经有43个职能单位的562项政务服务、17个委办局的45项公共便民服务被整合到这个APP中，更加方便群众家门口办理事项。</w:t>
      </w:r>
    </w:p>
    <w:p>
      <w:pPr>
        <w:numPr>
          <w:ilvl w:val="0"/>
          <w:numId w:val="0"/>
        </w:numPr>
        <w:ind w:firstLine="2891" w:firstLineChars="900"/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eastAsia="楷体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（根据冷水滩区平安办报送材料整理）</w:t>
      </w: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p>
      <w:pPr>
        <w:pStyle w:val="9"/>
        <w:widowControl/>
        <w:spacing w:beforeAutospacing="0" w:afterAutospacing="0" w:line="540" w:lineRule="exact"/>
        <w:rPr>
          <w:rStyle w:val="15"/>
          <w:rFonts w:hint="eastAsia" w:ascii="仿宋" w:hAnsi="仿宋" w:eastAsia="仿宋" w:cs="仿宋_GB2312"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43180</wp:posOffset>
                </wp:positionV>
                <wp:extent cx="5600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.4pt;height:0pt;width:441pt;z-index:251659264;mso-width-relative:page;mso-height-relative:page;" filled="f" stroked="t" coordsize="21600,21600" o:gfxdata="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MgNPDvRAAAABAEAAA8AAAAAAAAAAQAgAAAAIgAAAGRycy9kb3ducmV2LnhtbFBLAQIUABQAAAAI&#10;AIdO4kDnZXhJ9AEAAOQDAAAOAAAAAAAAAAEAIAAAACABAABkcnMvZTJvRG9jLnhtbFBLBQYAAAAA&#10;BgAGAFkBAACG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Style w:val="15"/>
          <w:rFonts w:hint="eastAsia" w:ascii="仿宋" w:hAnsi="仿宋" w:eastAsia="仿宋" w:cs="仿宋_GB2312"/>
          <w:bCs/>
          <w:color w:val="000000"/>
          <w:sz w:val="32"/>
          <w:szCs w:val="32"/>
        </w:rPr>
        <w:t>报：省委政法委政策研究室、基层社会治理处</w:t>
      </w:r>
    </w:p>
    <w:p>
      <w:pPr>
        <w:pStyle w:val="9"/>
        <w:widowControl/>
        <w:spacing w:beforeAutospacing="0" w:afterAutospacing="0" w:line="560" w:lineRule="exact"/>
        <w:ind w:left="638" w:leftChars="304"/>
        <w:rPr>
          <w:rStyle w:val="15"/>
          <w:rFonts w:ascii="仿宋" w:hAnsi="仿宋" w:eastAsia="仿宋" w:cs="仿宋_GB2312"/>
          <w:bCs/>
          <w:color w:val="000000"/>
          <w:sz w:val="32"/>
          <w:szCs w:val="32"/>
        </w:rPr>
      </w:pPr>
      <w:r>
        <w:rPr>
          <w:rStyle w:val="15"/>
          <w:rFonts w:hint="eastAsia" w:ascii="仿宋" w:hAnsi="仿宋" w:eastAsia="仿宋" w:cs="仿宋_GB2312"/>
          <w:bCs/>
          <w:color w:val="000000"/>
          <w:sz w:val="32"/>
          <w:szCs w:val="32"/>
        </w:rPr>
        <w:t>洪武、爱林、铸飞、侯文、刘厚、建坤、玲军、丽华、文启、伟任、伍军同志</w:t>
      </w:r>
    </w:p>
    <w:p>
      <w:pPr>
        <w:pStyle w:val="9"/>
        <w:widowControl/>
        <w:spacing w:beforeAutospacing="0" w:afterAutospacing="0" w:line="560" w:lineRule="exact"/>
        <w:ind w:firstLine="640"/>
        <w:rPr>
          <w:rStyle w:val="15"/>
          <w:rFonts w:ascii="仿宋" w:hAnsi="仿宋" w:eastAsia="仿宋" w:cs="仿宋_GB2312"/>
          <w:bCs/>
          <w:color w:val="000000"/>
          <w:sz w:val="32"/>
          <w:szCs w:val="32"/>
        </w:rPr>
      </w:pPr>
      <w:r>
        <w:rPr>
          <w:rStyle w:val="15"/>
          <w:rFonts w:hint="eastAsia" w:ascii="仿宋" w:hAnsi="仿宋" w:eastAsia="仿宋" w:cs="仿宋_GB2312"/>
          <w:bCs/>
          <w:color w:val="000000"/>
          <w:sz w:val="32"/>
          <w:szCs w:val="32"/>
        </w:rPr>
        <w:t>市委政法委副书记、委员</w:t>
      </w:r>
    </w:p>
    <w:p>
      <w:pPr>
        <w:spacing w:line="540" w:lineRule="exact"/>
        <w:jc w:val="left"/>
        <w:rPr>
          <w:rFonts w:hint="eastAsia" w:ascii="仿宋_GB2312" w:hAnsi="仿宋" w:eastAsia="仿宋_GB2312"/>
          <w:color w:val="000000"/>
          <w:w w:val="8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469900</wp:posOffset>
                </wp:positionV>
                <wp:extent cx="56007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7pt;height:0pt;width:441pt;z-index:251660288;mso-width-relative:page;mso-height-relative:page;" filled="f" stroked="t" coordsize="21600,21600" o:gfxdata="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BrB4+TTAAAABgEAAA8AAAAAAAAAAQAgAAAAIgAAAGRycy9kb3ducmV2LnhtbFBLAQIUABQA&#10;AAAIAIdO4kDU2NT+9QEAAOQDAAAOAAAAAAAAAAEAIAAAACI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Style w:val="15"/>
          <w:rFonts w:hint="eastAsia" w:ascii="仿宋" w:hAnsi="仿宋" w:eastAsia="仿宋" w:cs="仿宋_GB2312"/>
          <w:bCs/>
          <w:color w:val="000000"/>
          <w:kern w:val="0"/>
          <w:sz w:val="32"/>
          <w:szCs w:val="32"/>
        </w:rPr>
        <w:t>发：</w:t>
      </w:r>
      <w:r>
        <w:rPr>
          <w:rStyle w:val="15"/>
          <w:rFonts w:hint="eastAsia" w:ascii="仿宋" w:hAnsi="仿宋" w:eastAsia="仿宋" w:cs="仿宋_GB2312"/>
          <w:bCs/>
          <w:color w:val="000000"/>
          <w:spacing w:val="-12"/>
          <w:w w:val="80"/>
          <w:kern w:val="0"/>
          <w:sz w:val="32"/>
          <w:szCs w:val="32"/>
        </w:rPr>
        <w:t>领导小组各成员单位、各县市区（管理区、经开区）市域社会治理</w:t>
      </w:r>
      <w:r>
        <w:rPr>
          <w:rStyle w:val="15"/>
          <w:rFonts w:hint="eastAsia" w:ascii="仿宋" w:hAnsi="仿宋" w:eastAsia="仿宋" w:cs="仿宋_GB2312"/>
          <w:bCs/>
          <w:spacing w:val="-12"/>
          <w:w w:val="80"/>
          <w:kern w:val="0"/>
          <w:sz w:val="32"/>
          <w:szCs w:val="32"/>
        </w:rPr>
        <w:t>创建办</w:t>
      </w:r>
    </w:p>
    <w:p>
      <w:pPr>
        <w:pStyle w:val="8"/>
        <w:rPr>
          <w:rFonts w:hint="default" w:eastAsia="楷体_GB2312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0ZGU0YzgyNTZmNTk2N2U3ZmQyYzhjNjFhMDIxMTAifQ=="/>
  </w:docVars>
  <w:rsids>
    <w:rsidRoot w:val="605A1F1A"/>
    <w:rsid w:val="014337F8"/>
    <w:rsid w:val="0C680D0A"/>
    <w:rsid w:val="112D6828"/>
    <w:rsid w:val="14D94C22"/>
    <w:rsid w:val="15A41F7D"/>
    <w:rsid w:val="1BAE408F"/>
    <w:rsid w:val="1DC905A0"/>
    <w:rsid w:val="1F336DB5"/>
    <w:rsid w:val="21CD73E2"/>
    <w:rsid w:val="287B7B98"/>
    <w:rsid w:val="2B950C5F"/>
    <w:rsid w:val="33156361"/>
    <w:rsid w:val="34C44675"/>
    <w:rsid w:val="39C85290"/>
    <w:rsid w:val="3D132C7C"/>
    <w:rsid w:val="40E866A6"/>
    <w:rsid w:val="42973227"/>
    <w:rsid w:val="42B20979"/>
    <w:rsid w:val="472A105A"/>
    <w:rsid w:val="475429A4"/>
    <w:rsid w:val="4A480659"/>
    <w:rsid w:val="4B465014"/>
    <w:rsid w:val="4E172D37"/>
    <w:rsid w:val="534A6576"/>
    <w:rsid w:val="54E66C03"/>
    <w:rsid w:val="55223123"/>
    <w:rsid w:val="592414A9"/>
    <w:rsid w:val="59F369F4"/>
    <w:rsid w:val="5EF22D7B"/>
    <w:rsid w:val="605A1F1A"/>
    <w:rsid w:val="6307712A"/>
    <w:rsid w:val="64862A07"/>
    <w:rsid w:val="6DD543B4"/>
    <w:rsid w:val="6EDD7874"/>
    <w:rsid w:val="6F6F1663"/>
    <w:rsid w:val="71145A61"/>
    <w:rsid w:val="73073C8B"/>
    <w:rsid w:val="7BC462D5"/>
    <w:rsid w:val="7F27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 w:line="240" w:lineRule="auto"/>
      <w:ind w:left="420" w:leftChars="200" w:firstLine="420" w:firstLineChars="200"/>
    </w:pPr>
    <w:rPr>
      <w:rFonts w:ascii="Calibri" w:hAnsi="Calibri" w:eastAsia="宋体" w:cs="Times New Roman"/>
      <w:sz w:val="21"/>
    </w:rPr>
  </w:style>
  <w:style w:type="paragraph" w:styleId="3">
    <w:name w:val="Body Text Indent"/>
    <w:basedOn w:val="1"/>
    <w:qFormat/>
    <w:uiPriority w:val="0"/>
    <w:pPr>
      <w:spacing w:line="500" w:lineRule="exact"/>
      <w:ind w:firstLine="584"/>
    </w:pPr>
    <w:rPr>
      <w:rFonts w:ascii="仿宋_GB2312" w:eastAsia="仿宋_GB2312"/>
      <w:sz w:val="32"/>
    </w:rPr>
  </w:style>
  <w:style w:type="paragraph" w:styleId="4">
    <w:name w:val="index 5"/>
    <w:basedOn w:val="1"/>
    <w:next w:val="1"/>
    <w:qFormat/>
    <w:uiPriority w:val="0"/>
    <w:pPr>
      <w:ind w:firstLine="480" w:firstLineChars="150"/>
    </w:pPr>
    <w:rPr>
      <w:rFonts w:ascii="仿宋_GB2312" w:hAnsi="仿宋" w:eastAsia="仿宋_GB2312" w:cs="Times New Roman"/>
      <w:color w:val="333333"/>
      <w:kern w:val="0"/>
      <w:sz w:val="32"/>
      <w:szCs w:val="32"/>
      <w:shd w:val="clear" w:color="auto" w:fill="FFFFFF"/>
    </w:rPr>
  </w:style>
  <w:style w:type="paragraph" w:styleId="5">
    <w:name w:val="Body Text"/>
    <w:basedOn w:val="1"/>
    <w:next w:val="6"/>
    <w:qFormat/>
    <w:uiPriority w:val="0"/>
    <w:pPr>
      <w:spacing w:after="120" w:line="240" w:lineRule="auto"/>
    </w:pPr>
    <w:rPr>
      <w:rFonts w:ascii="Calibri" w:hAnsi="Calibri" w:eastAsia="宋体" w:cs="Calibri"/>
      <w:sz w:val="21"/>
      <w:szCs w:val="21"/>
    </w:rPr>
  </w:style>
  <w:style w:type="paragraph" w:styleId="6">
    <w:name w:val="Body Text First Indent"/>
    <w:basedOn w:val="5"/>
    <w:qFormat/>
    <w:uiPriority w:val="0"/>
    <w:pPr>
      <w:ind w:firstLine="100" w:firstLineChars="100"/>
    </w:pPr>
  </w:style>
  <w:style w:type="paragraph" w:styleId="7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9">
    <w:name w:val="Normal (Web)"/>
    <w:basedOn w:val="1"/>
    <w:next w:val="4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  <w:style w:type="character" w:styleId="12">
    <w:name w:val="page number"/>
    <w:qFormat/>
    <w:uiPriority w:val="0"/>
    <w:rPr>
      <w:rFonts w:ascii="Times New Roman" w:hAnsi="Times New Roman" w:eastAsia="宋体" w:cs="Times New Roman"/>
    </w:rPr>
  </w:style>
  <w:style w:type="paragraph" w:customStyle="1" w:styleId="13">
    <w:name w:val="BodyText"/>
    <w:basedOn w:val="1"/>
    <w:qFormat/>
    <w:uiPriority w:val="99"/>
    <w:pPr>
      <w:spacing w:after="120"/>
      <w:textAlignment w:val="baseline"/>
    </w:pPr>
    <w:rPr>
      <w:rFonts w:ascii="Times New Roman" w:hAnsi="Times New Roman"/>
    </w:rPr>
  </w:style>
  <w:style w:type="character" w:customStyle="1" w:styleId="14">
    <w:name w:val="UserStyle_0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5">
    <w:name w:val="NormalCharact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4909</Words>
  <Characters>5021</Characters>
  <Lines>0</Lines>
  <Paragraphs>0</Paragraphs>
  <TotalTime>1</TotalTime>
  <ScaleCrop>false</ScaleCrop>
  <LinksUpToDate>false</LinksUpToDate>
  <CharactersWithSpaces>5063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2022-05-31T03:28:00Z</dcterms:created>
  <dc:creator>Administrator</dc:creator>
  <cp:lastModifiedBy>清风扬世</cp:lastModifiedBy>
  <cp:lastPrinted>2022-06-22T09:39:00Z</cp:lastPrinted>
  <dcterms:modified xsi:type="dcterms:W3CDTF">2022-08-17T00:48:50Z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29757BDB0B224FFDBEA5C1373F30ACA3</vt:lpwstr>
  </property>
</Properties>
</file>